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1898910</wp:posOffset>
            </wp:positionH>
            <wp:positionV relativeFrom="paragraph">
              <wp:posOffset>5080</wp:posOffset>
            </wp:positionV>
            <wp:extent cx="2907780" cy="1095375"/>
            <wp:effectExtent b="0" l="0" r="0" t="0"/>
            <wp:wrapNone/>
            <wp:docPr descr="Project Management Institute" id="15" name="image2.png"/>
            <a:graphic>
              <a:graphicData uri="http://schemas.openxmlformats.org/drawingml/2006/picture">
                <pic:pic>
                  <pic:nvPicPr>
                    <pic:cNvPr descr="Project Management Institut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7780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0"/>
        </w:tabs>
        <w:spacing w:after="0" w:before="0" w:line="240" w:lineRule="auto"/>
        <w:ind w:left="0" w:right="0" w:firstLine="0"/>
        <w:jc w:val="left"/>
        <w:rPr>
          <w:b w:val="1"/>
          <w:sz w:val="64"/>
          <w:szCs w:val="6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203200</wp:posOffset>
                </wp:positionV>
                <wp:extent cx="6854825" cy="1782827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32875" y="2898938"/>
                          <a:ext cx="68262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Project Management Institute (PMI) Kenya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  <w:t xml:space="preserve">NATIONAL PROJECT AWARDS 202</w:t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  <w:t xml:space="preserve"> NOMINATION</w:t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4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  <w:t xml:space="preserve">FORM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e36c09"/>
                                <w:sz w:val="36"/>
                                <w:vertAlign w:val="baseline"/>
                              </w:rPr>
                              <w:t xml:space="preserve">PROJECT OF THE YEAR AWARD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203200</wp:posOffset>
                </wp:positionV>
                <wp:extent cx="6854825" cy="1782827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4825" cy="17828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0"/>
        </w:tabs>
        <w:spacing w:after="0" w:before="0" w:line="240" w:lineRule="auto"/>
        <w:ind w:left="0" w:right="0" w:firstLine="0"/>
        <w:jc w:val="left"/>
        <w:rPr>
          <w:b w:val="1"/>
          <w:sz w:val="64"/>
          <w:szCs w:val="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0"/>
        </w:tabs>
        <w:spacing w:after="0" w:before="0" w:line="240" w:lineRule="auto"/>
        <w:ind w:left="0" w:right="0" w:firstLine="0"/>
        <w:jc w:val="left"/>
        <w:rPr>
          <w:b w:val="1"/>
          <w:sz w:val="64"/>
          <w:szCs w:val="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0"/>
        </w:tabs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color w:val="5d6472"/>
          <w:sz w:val="31"/>
          <w:szCs w:val="31"/>
        </w:rPr>
        <w:sectPr>
          <w:headerReference r:id="rId9" w:type="default"/>
          <w:headerReference r:id="rId10" w:type="first"/>
          <w:footerReference r:id="rId11" w:type="default"/>
          <w:footerReference r:id="rId12" w:type="first"/>
          <w:pgSz w:h="16440" w:w="12000" w:orient="portrait"/>
          <w:pgMar w:bottom="720" w:top="720" w:left="720" w:right="720" w:header="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widowControl w:val="1"/>
        <w:spacing w:after="160" w:before="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widowControl w:val="1"/>
        <w:numPr>
          <w:ilvl w:val="0"/>
          <w:numId w:val="13"/>
        </w:numPr>
        <w:spacing w:after="160" w:before="0" w:lineRule="auto"/>
        <w:ind w:left="360"/>
        <w:rPr/>
      </w:pPr>
      <w:r w:rsidDel="00000000" w:rsidR="00000000" w:rsidRPr="00000000">
        <w:rPr>
          <w:sz w:val="40"/>
          <w:szCs w:val="40"/>
          <w:rtl w:val="0"/>
        </w:rPr>
        <w:t xml:space="preserve">Purpose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4"/>
        </w:numPr>
        <w:spacing w:after="160" w:line="360" w:lineRule="auto"/>
        <w:ind w:left="360" w:right="-240"/>
        <w:rPr/>
      </w:pPr>
      <w:r w:rsidDel="00000000" w:rsidR="00000000" w:rsidRPr="00000000">
        <w:rPr>
          <w:sz w:val="24"/>
          <w:szCs w:val="24"/>
          <w:rtl w:val="0"/>
        </w:rPr>
        <w:t xml:space="preserve">The PMI Kenya Project of the Year Award recognizes all projects from small to large and complex projects that best deliver: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6"/>
        </w:numPr>
        <w:spacing w:after="16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Superior performance of project management practices</w:t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6"/>
        </w:numPr>
        <w:spacing w:after="16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Superior organizational results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16"/>
        </w:numPr>
        <w:spacing w:after="160" w:line="360" w:lineRule="auto"/>
        <w:ind w:left="720" w:hanging="36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Positive impact on society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4"/>
        </w:numPr>
        <w:spacing w:after="160" w:line="360" w:lineRule="auto"/>
        <w:ind w:left="360"/>
        <w:rPr/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This year’s theme (2023) is:</w:t>
      </w:r>
    </w:p>
    <w:p w:rsidR="00000000" w:rsidDel="00000000" w:rsidP="00000000" w:rsidRDefault="00000000" w:rsidRPr="00000000" w14:paraId="00000018">
      <w:pPr>
        <w:widowControl w:val="1"/>
        <w:spacing w:after="160" w:line="259" w:lineRule="auto"/>
        <w:jc w:val="center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color w:val="ff9900"/>
          <w:sz w:val="24"/>
          <w:szCs w:val="24"/>
          <w:rtl w:val="0"/>
        </w:rPr>
        <w:t xml:space="preserve">“Seizing the moment: The now &amp; future of innovation in project management.”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keepNext w:val="0"/>
        <w:keepLines w:val="0"/>
        <w:widowControl w:val="1"/>
        <w:numPr>
          <w:ilvl w:val="0"/>
          <w:numId w:val="13"/>
        </w:numPr>
        <w:spacing w:after="160" w:before="0" w:lineRule="auto"/>
        <w:ind w:left="360"/>
        <w:rPr/>
      </w:pPr>
      <w:r w:rsidDel="00000000" w:rsidR="00000000" w:rsidRPr="00000000">
        <w:rPr>
          <w:sz w:val="40"/>
          <w:szCs w:val="40"/>
          <w:rtl w:val="0"/>
        </w:rPr>
        <w:t xml:space="preserve">Categories</w:t>
      </w:r>
    </w:p>
    <w:p w:rsidR="00000000" w:rsidDel="00000000" w:rsidP="00000000" w:rsidRDefault="00000000" w:rsidRPr="00000000" w14:paraId="0000001A">
      <w:pPr>
        <w:widowControl w:val="1"/>
        <w:spacing w:after="120" w:before="120"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applying for this award, choose the category that best suits your organization in size and governance.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widowControl w:val="1"/>
        <w:numPr>
          <w:ilvl w:val="0"/>
          <w:numId w:val="10"/>
        </w:numPr>
        <w:spacing w:after="160" w:before="0" w:lineRule="auto"/>
        <w:ind w:left="360"/>
        <w:rPr/>
      </w:pPr>
      <w:r w:rsidDel="00000000" w:rsidR="00000000" w:rsidRPr="00000000">
        <w:rPr>
          <w:sz w:val="28"/>
          <w:szCs w:val="28"/>
          <w:rtl w:val="0"/>
        </w:rPr>
        <w:t xml:space="preserve">Large Private Enterprise</w:t>
      </w:r>
    </w:p>
    <w:p w:rsidR="00000000" w:rsidDel="00000000" w:rsidP="00000000" w:rsidRDefault="00000000" w:rsidRPr="00000000" w14:paraId="0000001C">
      <w:pPr>
        <w:widowControl w:val="1"/>
        <w:spacing w:before="120" w:line="36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category showcases outstanding project management in large private enterprises, with more than 250 employees. Projects can cover Information Technology, Business Transformation, Engineering, Product Development, or other areas. </w:t>
      </w:r>
    </w:p>
    <w:p w:rsidR="00000000" w:rsidDel="00000000" w:rsidP="00000000" w:rsidRDefault="00000000" w:rsidRPr="00000000" w14:paraId="0000001D">
      <w:pPr>
        <w:widowControl w:val="1"/>
        <w:spacing w:after="120" w:line="36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Revenue </w:t>
      </w:r>
      <w:r w:rsidDel="00000000" w:rsidR="00000000" w:rsidRPr="00000000">
        <w:rPr>
          <w:sz w:val="24"/>
          <w:szCs w:val="24"/>
          <w:rtl w:val="0"/>
        </w:rPr>
        <w:t xml:space="preserve">range: </w:t>
      </w:r>
      <w:r w:rsidDel="00000000" w:rsidR="00000000" w:rsidRPr="00000000">
        <w:rPr>
          <w:b w:val="1"/>
          <w:sz w:val="24"/>
          <w:szCs w:val="24"/>
          <w:rtl w:val="0"/>
        </w:rPr>
        <w:t xml:space="preserve">KES. &gt;10,000,000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widowControl w:val="1"/>
        <w:numPr>
          <w:ilvl w:val="0"/>
          <w:numId w:val="10"/>
        </w:numPr>
        <w:spacing w:after="160" w:before="0" w:lineRule="auto"/>
        <w:ind w:left="36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Small &amp; Medium Enterprise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after="120" w:before="120" w:line="36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category showcases outstanding project management in Small &amp; Medium Enterprises with 250 or fewer employees. It can cover Information Technology, Business Transformation, Engineering, Product Development, or other areas. </w:t>
      </w:r>
    </w:p>
    <w:p w:rsidR="00000000" w:rsidDel="00000000" w:rsidP="00000000" w:rsidRDefault="00000000" w:rsidRPr="00000000" w14:paraId="00000020">
      <w:pPr>
        <w:widowControl w:val="1"/>
        <w:spacing w:after="120" w:before="120" w:line="360" w:lineRule="auto"/>
        <w:ind w:left="36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Revenue range: </w:t>
      </w:r>
      <w:r w:rsidDel="00000000" w:rsidR="00000000" w:rsidRPr="00000000">
        <w:rPr>
          <w:b w:val="1"/>
          <w:sz w:val="24"/>
          <w:szCs w:val="24"/>
          <w:rtl w:val="0"/>
        </w:rPr>
        <w:t xml:space="preserve">KES. &lt; 10,000,000</w:t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widowControl w:val="1"/>
        <w:numPr>
          <w:ilvl w:val="0"/>
          <w:numId w:val="10"/>
        </w:numPr>
        <w:spacing w:after="160" w:before="0" w:lineRule="auto"/>
        <w:ind w:left="360"/>
        <w:rPr>
          <w:b w:val="1"/>
        </w:rPr>
      </w:pPr>
      <w:bookmarkStart w:colFirst="0" w:colLast="0" w:name="_heading=h.pti6t7px6mjn" w:id="3"/>
      <w:bookmarkEnd w:id="3"/>
      <w:r w:rsidDel="00000000" w:rsidR="00000000" w:rsidRPr="00000000">
        <w:rPr>
          <w:sz w:val="28"/>
          <w:szCs w:val="28"/>
          <w:rtl w:val="0"/>
        </w:rPr>
        <w:t xml:space="preserve">Social Impact Organizations</w:t>
      </w:r>
    </w:p>
    <w:p w:rsidR="00000000" w:rsidDel="00000000" w:rsidP="00000000" w:rsidRDefault="00000000" w:rsidRPr="00000000" w14:paraId="00000022">
      <w:pPr>
        <w:widowControl w:val="1"/>
        <w:spacing w:after="120" w:before="120" w:line="36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category showcases outstanding project management both in </w:t>
      </w:r>
      <w:r w:rsidDel="00000000" w:rsidR="00000000" w:rsidRPr="00000000">
        <w:rPr>
          <w:color w:val="333333"/>
          <w:sz w:val="23"/>
          <w:szCs w:val="23"/>
          <w:shd w:fill="f6f6f7" w:val="clear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NGOs (non-governmental organizations)</w:t>
      </w:r>
      <w:r w:rsidDel="00000000" w:rsidR="00000000" w:rsidRPr="00000000">
        <w:rPr>
          <w:sz w:val="24"/>
          <w:szCs w:val="24"/>
          <w:rtl w:val="0"/>
        </w:rPr>
        <w:t xml:space="preserve"> which support public / community effort without profit being a governing factor and Public Sector covering Civil Service, Health, Justice, Education, Defence Local Government, and Non-Commercial Government Agencies. </w:t>
      </w:r>
    </w:p>
    <w:p w:rsidR="00000000" w:rsidDel="00000000" w:rsidP="00000000" w:rsidRDefault="00000000" w:rsidRPr="00000000" w14:paraId="00000023">
      <w:pPr>
        <w:widowControl w:val="1"/>
        <w:spacing w:after="120" w:before="120" w:line="360" w:lineRule="auto"/>
        <w:ind w:left="36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Revenue range: </w:t>
      </w:r>
      <w:r w:rsidDel="00000000" w:rsidR="00000000" w:rsidRPr="00000000">
        <w:rPr>
          <w:b w:val="1"/>
          <w:sz w:val="24"/>
          <w:szCs w:val="24"/>
          <w:rtl w:val="0"/>
        </w:rPr>
        <w:t xml:space="preserve">Unrestricted.</w:t>
      </w:r>
    </w:p>
    <w:p w:rsidR="00000000" w:rsidDel="00000000" w:rsidP="00000000" w:rsidRDefault="00000000" w:rsidRPr="00000000" w14:paraId="00000024">
      <w:pPr>
        <w:pStyle w:val="Heading1"/>
        <w:keepNext w:val="0"/>
        <w:keepLines w:val="0"/>
        <w:widowControl w:val="1"/>
        <w:numPr>
          <w:ilvl w:val="0"/>
          <w:numId w:val="13"/>
        </w:numPr>
        <w:spacing w:after="160" w:before="0" w:lineRule="auto"/>
        <w:ind w:left="360"/>
        <w:rPr/>
      </w:pPr>
      <w:r w:rsidDel="00000000" w:rsidR="00000000" w:rsidRPr="00000000">
        <w:rPr>
          <w:sz w:val="40"/>
          <w:szCs w:val="40"/>
          <w:rtl w:val="0"/>
        </w:rPr>
        <w:t xml:space="preserve">Eligibility</w:t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12"/>
        </w:numPr>
        <w:spacing w:after="160"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Project of any type, from any industry, in public or private sectors.</w:t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12"/>
        </w:numPr>
        <w:spacing w:after="160"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The project must have been completed no more than 12 months before the nomination deadline.</w:t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12"/>
        </w:numPr>
        <w:spacing w:after="160"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Both the nominator and nominee do not require PMI affiliation.</w:t>
      </w:r>
    </w:p>
    <w:p w:rsidR="00000000" w:rsidDel="00000000" w:rsidP="00000000" w:rsidRDefault="00000000" w:rsidRPr="00000000" w14:paraId="00000028">
      <w:pPr>
        <w:widowControl w:val="1"/>
        <w:spacing w:after="160" w:line="259" w:lineRule="auto"/>
        <w:ind w:left="360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Not Eligible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11"/>
        </w:numPr>
        <w:spacing w:after="160"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Projects completed more than 12 months from the nomination deadline.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1"/>
        </w:numPr>
        <w:spacing w:after="160"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Current PMI and PMI Kenya Chapter </w:t>
      </w:r>
      <w:r w:rsidDel="00000000" w:rsidR="00000000" w:rsidRPr="00000000">
        <w:rPr>
          <w:sz w:val="24"/>
          <w:szCs w:val="24"/>
          <w:rtl w:val="0"/>
        </w:rPr>
        <w:t xml:space="preserve">staff</w:t>
      </w:r>
      <w:r w:rsidDel="00000000" w:rsidR="00000000" w:rsidRPr="00000000">
        <w:rPr>
          <w:sz w:val="24"/>
          <w:szCs w:val="24"/>
          <w:rtl w:val="0"/>
        </w:rPr>
        <w:t xml:space="preserve">, contractors, and/or consultants are not eligible to apply for this award. However, volunteers under the PMI Kenya chapter can apply.</w:t>
      </w:r>
    </w:p>
    <w:p w:rsidR="00000000" w:rsidDel="00000000" w:rsidP="00000000" w:rsidRDefault="00000000" w:rsidRPr="00000000" w14:paraId="0000002B">
      <w:pPr>
        <w:widowControl w:val="1"/>
        <w:spacing w:after="160" w:line="259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keepNext w:val="0"/>
        <w:keepLines w:val="0"/>
        <w:widowControl w:val="1"/>
        <w:numPr>
          <w:ilvl w:val="0"/>
          <w:numId w:val="13"/>
        </w:numPr>
        <w:spacing w:after="160" w:before="0" w:lineRule="auto"/>
        <w:ind w:left="360"/>
        <w:rPr/>
      </w:pPr>
      <w:r w:rsidDel="00000000" w:rsidR="00000000" w:rsidRPr="00000000">
        <w:rPr>
          <w:sz w:val="40"/>
          <w:szCs w:val="40"/>
          <w:rtl w:val="0"/>
        </w:rPr>
        <w:t xml:space="preserve">Deadline for submission: </w:t>
      </w:r>
      <w:r w:rsidDel="00000000" w:rsidR="00000000" w:rsidRPr="00000000">
        <w:rPr>
          <w:sz w:val="36"/>
          <w:szCs w:val="36"/>
          <w:rtl w:val="0"/>
        </w:rPr>
        <w:t xml:space="preserve">5pm EAT, </w:t>
      </w:r>
      <w:r w:rsidDel="00000000" w:rsidR="00000000" w:rsidRPr="00000000">
        <w:rPr>
          <w:sz w:val="36"/>
          <w:szCs w:val="36"/>
          <w:rtl w:val="0"/>
        </w:rPr>
        <w:t xml:space="preserve">10th October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32" w:line="249" w:lineRule="auto"/>
        <w:ind w:right="92"/>
        <w:rPr>
          <w:b w:val="1"/>
          <w:color w:val="5d6472"/>
          <w:sz w:val="32"/>
          <w:szCs w:val="32"/>
        </w:rPr>
      </w:pPr>
      <w:r w:rsidDel="00000000" w:rsidR="00000000" w:rsidRPr="00000000">
        <w:rPr>
          <w:b w:val="1"/>
          <w:color w:val="5d6472"/>
          <w:sz w:val="32"/>
          <w:szCs w:val="32"/>
          <w:rtl w:val="0"/>
        </w:rPr>
        <w:t xml:space="preserve">Nomination Form</w:t>
      </w:r>
    </w:p>
    <w:p w:rsidR="00000000" w:rsidDel="00000000" w:rsidP="00000000" w:rsidRDefault="00000000" w:rsidRPr="00000000" w14:paraId="00000049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7230"/>
        <w:tblGridChange w:id="0">
          <w:tblGrid>
            <w:gridCol w:w="3397"/>
            <w:gridCol w:w="723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shd w:fill="ff610f" w:val="clear"/>
          </w:tcPr>
          <w:p w:rsidR="00000000" w:rsidDel="00000000" w:rsidP="00000000" w:rsidRDefault="00000000" w:rsidRPr="00000000" w14:paraId="0000004A">
            <w:pPr>
              <w:spacing w:before="32" w:line="249" w:lineRule="auto"/>
              <w:ind w:right="92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Submission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before="32" w:line="249" w:lineRule="auto"/>
              <w:ind w:right="92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Award Category: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before="32" w:line="249" w:lineRule="auto"/>
              <w:ind w:right="92"/>
              <w:rPr>
                <w:b w:val="1"/>
                <w:color w:val="ff610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610f"/>
                <w:sz w:val="24"/>
                <w:szCs w:val="24"/>
                <w:rtl w:val="0"/>
              </w:rPr>
              <w:t xml:space="preserve">Project of the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before="32" w:line="249" w:lineRule="auto"/>
              <w:ind w:right="92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Company/Organisation: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before="32" w:line="249" w:lineRule="auto"/>
              <w:ind w:right="92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before="32" w:line="249" w:lineRule="auto"/>
              <w:ind w:right="92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Contact email: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before="32" w:line="249" w:lineRule="auto"/>
              <w:ind w:right="92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before="32" w:line="249" w:lineRule="auto"/>
        <w:ind w:right="92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200"/>
        <w:gridCol w:w="1918"/>
        <w:gridCol w:w="1418"/>
        <w:gridCol w:w="4536"/>
        <w:tblGridChange w:id="0">
          <w:tblGrid>
            <w:gridCol w:w="1560"/>
            <w:gridCol w:w="1200"/>
            <w:gridCol w:w="1918"/>
            <w:gridCol w:w="1418"/>
            <w:gridCol w:w="453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shd w:fill="ff610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8b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Nominator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</w:t>
            </w: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9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Mobile: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7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Relationship to the nominee: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9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C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Signature: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275"/>
        <w:gridCol w:w="1843"/>
        <w:gridCol w:w="1418"/>
        <w:gridCol w:w="4536"/>
        <w:tblGridChange w:id="0">
          <w:tblGrid>
            <w:gridCol w:w="1560"/>
            <w:gridCol w:w="1275"/>
            <w:gridCol w:w="1843"/>
            <w:gridCol w:w="1418"/>
            <w:gridCol w:w="453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shd w:fill="ff610f" w:val="clear"/>
          </w:tcPr>
          <w:p w:rsidR="00000000" w:rsidDel="00000000" w:rsidP="00000000" w:rsidRDefault="00000000" w:rsidRPr="00000000" w14:paraId="00000075">
            <w:pPr>
              <w:widowControl w:val="1"/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Nominee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</w:t>
            </w: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B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Mobile: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275"/>
        <w:gridCol w:w="1843"/>
        <w:gridCol w:w="1418"/>
        <w:gridCol w:w="4536"/>
        <w:tblGridChange w:id="0">
          <w:tblGrid>
            <w:gridCol w:w="1560"/>
            <w:gridCol w:w="1275"/>
            <w:gridCol w:w="1843"/>
            <w:gridCol w:w="1418"/>
            <w:gridCol w:w="453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shd w:fill="ff610f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Project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1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Project budget: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3">
            <w:pPr>
              <w:spacing w:after="60" w:before="60" w:lineRule="auto"/>
              <w:rPr>
                <w:i w:val="1"/>
                <w:color w:val="ff610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ff610f"/>
                <w:sz w:val="24"/>
                <w:szCs w:val="24"/>
                <w:rtl w:val="0"/>
              </w:rPr>
              <w:t xml:space="preserve">&lt;&lt; </w:t>
            </w:r>
            <w:r w:rsidDel="00000000" w:rsidR="00000000" w:rsidRPr="00000000">
              <w:rPr>
                <w:i w:val="1"/>
                <w:color w:val="ff610f"/>
                <w:sz w:val="24"/>
                <w:szCs w:val="24"/>
                <w:rtl w:val="0"/>
              </w:rPr>
              <w:t xml:space="preserve">Tick </w:t>
            </w:r>
            <w:r w:rsidDel="00000000" w:rsidR="00000000" w:rsidRPr="00000000">
              <w:rPr>
                <w:i w:val="1"/>
                <w:color w:val="ff610f"/>
                <w:sz w:val="24"/>
                <w:szCs w:val="24"/>
                <w:rtl w:val="0"/>
              </w:rPr>
              <w:t xml:space="preserve">the most applicable option; only ONE&gt;&gt;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 KES. 1,000,000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KES. 1,000,000 – 3,000,000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KES. 3,000,001 – 5,000,000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KES. 5,000,001 – 10,000,000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KES. 10,000,000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B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Categories: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right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ff610f"/>
                <w:sz w:val="24"/>
                <w:szCs w:val="24"/>
                <w:rtl w:val="0"/>
              </w:rPr>
              <w:t xml:space="preserve">&lt;&lt; </w:t>
            </w:r>
            <w:r w:rsidDel="00000000" w:rsidR="00000000" w:rsidRPr="00000000">
              <w:rPr>
                <w:i w:val="1"/>
                <w:color w:val="ff610f"/>
                <w:sz w:val="24"/>
                <w:szCs w:val="24"/>
                <w:rtl w:val="0"/>
              </w:rPr>
              <w:t xml:space="preserve">Tick </w:t>
            </w:r>
            <w:r w:rsidDel="00000000" w:rsidR="00000000" w:rsidRPr="00000000">
              <w:rPr>
                <w:i w:val="1"/>
                <w:color w:val="ff610f"/>
                <w:sz w:val="24"/>
                <w:szCs w:val="24"/>
                <w:rtl w:val="0"/>
              </w:rPr>
              <w:t xml:space="preserve">the most applicable option; only ONE&gt;&gt;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Large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private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enterprise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Small &amp; </w:t>
            </w: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medium-sized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enterprise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Social Impact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(Public Sector, NGOs, missionaries, charities)</w:t>
            </w:r>
          </w:p>
          <w:p w:rsidR="00000000" w:rsidDel="00000000" w:rsidP="00000000" w:rsidRDefault="00000000" w:rsidRPr="00000000" w14:paraId="000000A1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     (Refer to the guidelines above for the description)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Please indicate the project </w:t>
            </w: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60" w:before="60" w:lineRule="auto"/>
              <w:rPr>
                <w:i w:val="1"/>
                <w:color w:val="ff610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ff610f"/>
                <w:sz w:val="24"/>
                <w:szCs w:val="24"/>
                <w:rtl w:val="0"/>
              </w:rPr>
              <w:t xml:space="preserve">&lt;&lt; Tick the most applicable </w:t>
            </w:r>
            <w:r w:rsidDel="00000000" w:rsidR="00000000" w:rsidRPr="00000000">
              <w:rPr>
                <w:i w:val="1"/>
                <w:color w:val="ff610f"/>
                <w:sz w:val="24"/>
                <w:szCs w:val="24"/>
                <w:rtl w:val="0"/>
              </w:rPr>
              <w:t xml:space="preserve">option </w:t>
            </w:r>
            <w:r w:rsidDel="00000000" w:rsidR="00000000" w:rsidRPr="00000000">
              <w:rPr>
                <w:i w:val="1"/>
                <w:color w:val="ff610f"/>
                <w:sz w:val="24"/>
                <w:szCs w:val="24"/>
                <w:rtl w:val="0"/>
              </w:rPr>
              <w:t xml:space="preserve">&gt;&gt;</w:t>
            </w:r>
          </w:p>
          <w:p w:rsidR="00000000" w:rsidDel="00000000" w:rsidP="00000000" w:rsidRDefault="00000000" w:rsidRPr="00000000" w14:paraId="000000A6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Food &amp; beverage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Edible oil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Salt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Baked products &amp; other processed cereals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Confectionery &amp; snack foods, spreads &amp; condiments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Dairy &amp; dairy derivatives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Meat &amp; fish products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Alcoholic beverages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Non-alcoholic beverages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Agro-processing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Sugar &amp; sweeteners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Grain processors &amp; animal feed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Fresh produce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 &amp; coffee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Agricultural farm inputs &amp; equipment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Non-food based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Floriculture</w:t>
            </w:r>
          </w:p>
          <w:p w:rsidR="00000000" w:rsidDel="00000000" w:rsidP="00000000" w:rsidRDefault="00000000" w:rsidRPr="00000000" w14:paraId="000000B7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Plastic &amp; rubber sector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Plastic converter – packaging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Plastic &amp; rubber converter – other products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Pet sub-sectors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Non-woven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Automotive sector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Vehicle assemblers (4 wheelers)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Bus body builders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Vehicle parts manufacturer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Motorcycle assemble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Chemical &amp; allied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Agro-chemical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Paints &amp; resins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Cosmetics &amp; personal care &amp; hygiene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Chemical converters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Timber sector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Timber converter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Wood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Furniture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Energy, electrical, and electronics sector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Petroleum products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Energy and renewable energy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Electrical &amp; accessories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Electronics, equipment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 accessories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Metal &amp; allied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Smelting &amp; hot rolling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Cold rolling &amp; allied products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Hollow section convertors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Wire product convertors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Steel fabricators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Aluminium extrusion &amp; 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abricators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Building, mining and construction sector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Cement &amp; allied products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Quarry products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Building accessories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Mining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Paper sector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Paper manufacturer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Paper convertors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Printers &amp; allied indust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Leather and footwear sector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Tanneries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Footwear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Leather product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Textile &amp; apparel sector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Epz apparel sub-sector (apparel exports)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Textile manufacturers (local textiles and apparels)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Apparel/garment 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anufacturers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Pharmaceutical sector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Medical eq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uipment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Services sector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ICT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Professional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Financial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Consumer discretionary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Utilities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Consumer staples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line="351" w:lineRule="auto"/>
              <w:ind w:right="223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Other description: 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line="351" w:lineRule="auto"/>
              <w:ind w:right="223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351" w:lineRule="auto"/>
              <w:ind w:right="223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line="351" w:lineRule="auto"/>
              <w:ind w:right="223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5"/>
            <w:tcBorders>
              <w:top w:color="000000" w:space="0" w:sz="0" w:val="nil"/>
            </w:tcBorders>
            <w:shd w:fill="4f17a8" w:val="clear"/>
          </w:tcPr>
          <w:p w:rsidR="00000000" w:rsidDel="00000000" w:rsidP="00000000" w:rsidRDefault="00000000" w:rsidRPr="00000000" w14:paraId="00000101">
            <w:pPr>
              <w:spacing w:line="351" w:lineRule="auto"/>
              <w:ind w:left="60" w:right="223" w:firstLine="0"/>
              <w:rPr>
                <w:b w:val="1"/>
                <w:color w:val="59616f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Q1. Introduction/Summary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e5dcf2" w:val="clear"/>
          </w:tcPr>
          <w:p w:rsidR="00000000" w:rsidDel="00000000" w:rsidP="00000000" w:rsidRDefault="00000000" w:rsidRPr="00000000" w14:paraId="000001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section provides the project background as the basis for evaluating the answers to the following sections: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8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a brief overview of the project.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8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the organisational need addressed by the project in line with this year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’s theme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   “Seizing the moment: The now &amp; future of innovation in project management.”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8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Briefly describe the solution that was implemented.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8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the outcomes of this project on the project stakeholders and on community/organisation in general.</w:t>
            </w:r>
          </w:p>
        </w:tc>
      </w:tr>
      <w:tr>
        <w:trPr>
          <w:cantSplit w:val="0"/>
          <w:trHeight w:val="389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0F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139">
            <w:pPr>
              <w:spacing w:line="351" w:lineRule="auto"/>
              <w:ind w:left="60" w:right="22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Q2. Governance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Show how governance was tailored to your project: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the project governance approach.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Suggesting - “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describe how the project manager/ leader was identified and the roles and responsibilities assigned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did the project ensure alignment with the organisation’s governance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did the Governance/Methodology assist in successful delivery of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the project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were the challenges experienced with the project governance and how were they overcome?</w:t>
            </w:r>
          </w:p>
        </w:tc>
      </w:tr>
      <w:tr>
        <w:trPr>
          <w:cantSplit w:val="0"/>
          <w:trHeight w:val="3013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165">
            <w:pPr>
              <w:spacing w:line="351" w:lineRule="auto"/>
              <w:ind w:left="60" w:right="223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Q3. Benefits/Value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2287" w:hRule="atLeast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166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Show how the outcomes/benefits/value of your project were realised by answering the following: 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were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expected positive benefits/value of the project on the organisation/community.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what processes/tools were used to verify if the expected project benefits were achieved.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what if any, benefits-related complexities had to be overcome.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5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18A">
            <w:pPr>
              <w:spacing w:line="351" w:lineRule="auto"/>
              <w:ind w:right="223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Q4. Stakeholders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1524" w:hRule="atLeast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18B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escribe how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stakeholder expectations and communication were effectively managed by answering the following: 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9"/>
              </w:numPr>
              <w:spacing w:line="351" w:lineRule="auto"/>
              <w:ind w:left="720" w:right="223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were the key stakeholders identified (describe any tools used) 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9"/>
              </w:numPr>
              <w:spacing w:line="351" w:lineRule="auto"/>
              <w:ind w:left="720" w:right="223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the Stakeholder communication strategies employed in the project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9"/>
              </w:numPr>
              <w:spacing w:line="351" w:lineRule="auto"/>
              <w:ind w:left="720" w:right="223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any  stakeholder challenges experienced in the project and how they were                                                       overcome</w:t>
            </w:r>
          </w:p>
        </w:tc>
      </w:tr>
      <w:tr>
        <w:trPr>
          <w:cantSplit w:val="0"/>
          <w:trHeight w:val="4055" w:hRule="atLeast"/>
          <w:tblHeader w:val="0"/>
        </w:trPr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1B2">
            <w:pPr>
              <w:spacing w:line="351" w:lineRule="auto"/>
              <w:ind w:right="223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Q5. Scope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2287" w:hRule="atLeast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1B3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Show that the project scope was effectively developed and managed by answering the following: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what processes/tools were used to document the project scope.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how these processes/tools were used to manage the scope.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how effective management of scope contributed to the project’s success.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what scope-related complexities had to be overcome.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1D2">
            <w:pPr>
              <w:spacing w:line="351" w:lineRule="auto"/>
              <w:ind w:right="223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Q6. Cost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1924" w:hRule="atLeast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1D3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utline how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project cost was effectively developed and managed by answering the following: 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what processes/tools were used to determine the project cost.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how these processes/tools were used to effectively manage the project costs.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how effective management of cost contributed to the project’s success.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what cost-related complexities had to be overcome.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1F9">
            <w:pPr>
              <w:spacing w:line="351" w:lineRule="auto"/>
              <w:ind w:right="223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Q7. Schedule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1FA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how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project schedule was effectively developed and managed by answering the following: 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80" w:right="0" w:hanging="4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what processes/tools were used to develop and manage the schedule.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80" w:right="0" w:hanging="4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how these processes/tools were used to effectively manage the schedule’s critical path.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80" w:right="0" w:hanging="4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how effective management of schedule contributed to the project’s success.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80" w:right="0" w:hanging="4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what schedule-related complexities had to be overcome.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rPr/>
      </w:pPr>
      <w:bookmarkStart w:colFirst="0" w:colLast="0" w:name="_heading=h.d4qloy1ngl08" w:id="4"/>
      <w:bookmarkEnd w:id="4"/>
      <w:r w:rsidDel="00000000" w:rsidR="00000000" w:rsidRPr="00000000">
        <w:rPr>
          <w:rtl w:val="0"/>
        </w:rPr>
      </w:r>
    </w:p>
    <w:tbl>
      <w:tblPr>
        <w:tblStyle w:val="Table11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7797"/>
        <w:tblGridChange w:id="0">
          <w:tblGrid>
            <w:gridCol w:w="2835"/>
            <w:gridCol w:w="779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610f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did you hear about the PMI KENYA National Project Awards (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check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as many as required)?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4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17"/>
              </w:numPr>
              <w:ind w:left="720" w:hanging="36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PMI KENYA Website</w:t>
              <w:tab/>
              <w:t xml:space="preserve">   </w:t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17"/>
              </w:numPr>
              <w:ind w:left="720" w:hanging="36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Word of mouth                     </w:t>
            </w:r>
          </w:p>
          <w:p w:rsidR="00000000" w:rsidDel="00000000" w:rsidP="00000000" w:rsidRDefault="00000000" w:rsidRPr="00000000" w14:paraId="00000217">
            <w:pPr>
              <w:numPr>
                <w:ilvl w:val="0"/>
                <w:numId w:val="17"/>
              </w:numPr>
              <w:ind w:left="720" w:hanging="36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PMI KENYA Whatsapp group</w:t>
            </w:r>
          </w:p>
          <w:p w:rsidR="00000000" w:rsidDel="00000000" w:rsidP="00000000" w:rsidRDefault="00000000" w:rsidRPr="00000000" w14:paraId="00000218">
            <w:pPr>
              <w:numPr>
                <w:ilvl w:val="0"/>
                <w:numId w:val="17"/>
              </w:numPr>
              <w:ind w:left="720" w:hanging="36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PMI KENYA LinkedIn</w:t>
            </w:r>
          </w:p>
          <w:p w:rsidR="00000000" w:rsidDel="00000000" w:rsidP="00000000" w:rsidRDefault="00000000" w:rsidRPr="00000000" w14:paraId="00000219">
            <w:pPr>
              <w:numPr>
                <w:ilvl w:val="0"/>
                <w:numId w:val="17"/>
              </w:numPr>
              <w:ind w:left="720" w:hanging="36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Other – Please specify:</w:t>
            </w: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A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C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ff610f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you have any suggestions for improvement for the PMI KENYA National Project Awards programme in the future?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1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05bfe0" w:val="clear"/>
          </w:tcPr>
          <w:p w:rsidR="00000000" w:rsidDel="00000000" w:rsidP="00000000" w:rsidRDefault="00000000" w:rsidRPr="00000000" w14:paraId="0000022D">
            <w:pPr>
              <w:spacing w:after="60" w:before="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IMPORTANT NOTES:</w:t>
            </w:r>
          </w:p>
          <w:p w:rsidR="00000000" w:rsidDel="00000000" w:rsidP="00000000" w:rsidRDefault="00000000" w:rsidRPr="00000000" w14:paraId="0000022E">
            <w:pPr>
              <w:widowControl w:val="1"/>
              <w:numPr>
                <w:ilvl w:val="0"/>
                <w:numId w:val="5"/>
              </w:numPr>
              <w:spacing w:after="60" w:before="60" w:lineRule="auto"/>
              <w:ind w:left="720" w:hanging="36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Please read the information available on the awards website for complete information and requirements about your application.</w:t>
            </w:r>
          </w:p>
          <w:p w:rsidR="00000000" w:rsidDel="00000000" w:rsidP="00000000" w:rsidRDefault="00000000" w:rsidRPr="00000000" w14:paraId="0000022F">
            <w:pPr>
              <w:widowControl w:val="1"/>
              <w:numPr>
                <w:ilvl w:val="0"/>
                <w:numId w:val="5"/>
              </w:numPr>
              <w:spacing w:after="60" w:before="60" w:lineRule="auto"/>
              <w:ind w:left="720" w:hanging="360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The judging panel may contact the nominator or nominee for additional information to support the application.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widowControl w:val="1"/>
              <w:numPr>
                <w:ilvl w:val="0"/>
                <w:numId w:val="5"/>
              </w:numPr>
              <w:spacing w:after="60" w:before="60" w:lineRule="auto"/>
              <w:ind w:left="720" w:hanging="360"/>
              <w:rPr>
                <w:color w:val="ffffff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Make sure that you submit your application before the deadline,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 5pm EAT, 10th October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1">
      <w:pPr>
        <w:spacing w:before="32" w:line="249" w:lineRule="auto"/>
        <w:ind w:right="92"/>
        <w:rPr>
          <w:color w:val="5d6472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440" w:w="12000" w:orient="portrait"/>
      <w:pgMar w:bottom="720" w:top="720" w:left="720" w:right="720" w:header="720" w:footer="57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3540"/>
        <w:tab w:val="right" w:leader="none" w:pos="105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PROJECT OF THE YEAR AWARD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5518150</wp:posOffset>
          </wp:positionH>
          <wp:positionV relativeFrom="paragraph">
            <wp:posOffset>-393697</wp:posOffset>
          </wp:positionV>
          <wp:extent cx="1219200" cy="459362"/>
          <wp:effectExtent b="0" l="0" r="0" t="0"/>
          <wp:wrapNone/>
          <wp:docPr descr="Project Management Institute" id="16" name="image1.png"/>
          <a:graphic>
            <a:graphicData uri="http://schemas.openxmlformats.org/drawingml/2006/picture">
              <pic:pic>
                <pic:nvPicPr>
                  <pic:cNvPr descr="Project Management Institu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45936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3540"/>
        <w:tab w:val="right" w:leader="none" w:pos="105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38"/>
      <w:szCs w:val="38"/>
    </w:rPr>
  </w:style>
  <w:style w:type="paragraph" w:styleId="ListParagraph">
    <w:name w:val="List Paragraph"/>
    <w:basedOn w:val="Normal"/>
    <w:uiPriority w:val="34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PlaceholderText">
    <w:name w:val="Placeholder Text"/>
    <w:basedOn w:val="DefaultParagraphFont"/>
    <w:uiPriority w:val="99"/>
    <w:semiHidden w:val="1"/>
    <w:rsid w:val="000070AD"/>
    <w:rPr>
      <w:color w:val="808080"/>
    </w:rPr>
  </w:style>
  <w:style w:type="paragraph" w:styleId="Header">
    <w:name w:val="header"/>
    <w:basedOn w:val="Normal"/>
    <w:link w:val="HeaderChar"/>
    <w:uiPriority w:val="99"/>
    <w:unhideWhenUsed w:val="1"/>
    <w:rsid w:val="00571F7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71F7F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571F7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71F7F"/>
    <w:rPr>
      <w:rFonts w:ascii="Arial" w:cs="Arial" w:eastAsia="Arial" w:hAnsi="Arial"/>
    </w:rPr>
  </w:style>
  <w:style w:type="character" w:styleId="Hyperlink">
    <w:name w:val="Hyperlink"/>
    <w:basedOn w:val="DefaultParagraphFont"/>
    <w:uiPriority w:val="99"/>
    <w:unhideWhenUsed w:val="1"/>
    <w:rsid w:val="0033337C"/>
    <w:rPr>
      <w:color w:val="0000ff" w:themeColor="hyperlink"/>
      <w:u w:val="single"/>
    </w:rPr>
  </w:style>
  <w:style w:type="paragraph" w:styleId="Default" w:customStyle="1">
    <w:name w:val="Default"/>
    <w:uiPriority w:val="99"/>
    <w:rsid w:val="0033337C"/>
    <w:pPr>
      <w:widowControl w:val="1"/>
      <w:autoSpaceDE w:val="0"/>
      <w:autoSpaceDN w:val="0"/>
      <w:adjustRightInd w:val="0"/>
    </w:pPr>
    <w:rPr>
      <w:rFonts w:ascii="Cambria" w:cs="Cambria" w:eastAsia="Times New Roman" w:hAnsi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205A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205AC"/>
    <w:rPr>
      <w:rFonts w:ascii="Tahoma" w:cs="Tahoma" w:eastAsia="Arial" w:hAnsi="Tahoma"/>
      <w:sz w:val="16"/>
      <w:szCs w:val="16"/>
    </w:rPr>
  </w:style>
  <w:style w:type="character" w:styleId="Mention1" w:customStyle="1">
    <w:name w:val="Mention1"/>
    <w:basedOn w:val="DefaultParagraphFont"/>
    <w:uiPriority w:val="99"/>
    <w:semiHidden w:val="1"/>
    <w:unhideWhenUsed w:val="1"/>
    <w:rsid w:val="004D670C"/>
    <w:rPr>
      <w:color w:val="2b579a"/>
      <w:shd w:color="auto" w:fill="e6e6e6" w:val="clear"/>
    </w:rPr>
  </w:style>
  <w:style w:type="paragraph" w:styleId="NoSpacing">
    <w:name w:val="No Spacing"/>
    <w:uiPriority w:val="1"/>
    <w:qFormat w:val="1"/>
    <w:rsid w:val="009F6B2B"/>
    <w:rPr>
      <w:rFonts w:ascii="Arial" w:cs="Arial" w:eastAsia="Arial" w:hAnsi="Arial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F6B2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E775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6E78BA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97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97CA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97CA1"/>
    <w:rPr>
      <w:rFonts w:ascii="Arial" w:cs="Arial" w:eastAsia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97CA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97CA1"/>
    <w:rPr>
      <w:rFonts w:ascii="Arial" w:cs="Arial" w:eastAsia="Arial" w:hAnsi="Arial"/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597CA1"/>
    <w:pPr>
      <w:widowControl w:val="1"/>
    </w:pPr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k7gFNt7qBCP5sgG4W9eokEmLFg==">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2021-08-30T07:06:00Z</dcterms:created>
</cp:coreProperties>
</file>